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begin"/>
      </w:r>
      <w:r>
        <w:instrText xml:space="preserve">PAGEREF _Toc_2_2_0000000001 \h</w:instrText>
      </w:r>
      <w:r>
        <w:fldChar w:fldCharType="separate"/>
      </w:r>
      <w:r>
        <w:rPr>
          <w:rFonts w:hint="eastAsia"/>
          <w:lang w:val="en-US" w:eastAsia="zh-CN"/>
        </w:rPr>
        <w:t>1</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"_Toc_2_2_0000000002" </w:instrText>
      </w:r>
      <w:r>
        <w:fldChar w:fldCharType="separate"/>
      </w:r>
      <w:r>
        <w:t>单位预算收入总表</w:t>
      </w:r>
      <w:r>
        <w:tab/>
      </w:r>
      <w:r>
        <w:fldChar w:fldCharType="end"/>
      </w:r>
      <w:r>
        <w:rPr>
          <w:rFonts w:hint="eastAsia"/>
          <w:lang w:val="en-US" w:eastAsia="zh-CN"/>
        </w:rPr>
        <w:t>3</w:t>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fldChar w:fldCharType="begin"/>
      </w:r>
      <w:r>
        <w:instrText xml:space="preserve">PAGEREF _Toc_2_2_0000000004 \h</w:instrText>
      </w:r>
      <w:r>
        <w:fldChar w:fldCharType="separate"/>
      </w:r>
      <w:r>
        <w:rPr>
          <w:rFonts w:hint="eastAsia"/>
          <w:lang w:val="en-US" w:eastAsia="zh-CN"/>
        </w:rPr>
        <w:t>5</w:t>
      </w:r>
      <w:r>
        <w:fldChar w:fldCharType="end"/>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rPr>
          <w:rFonts w:hint="eastAsia"/>
          <w:lang w:val="en-US" w:eastAsia="zh-CN"/>
        </w:rPr>
        <w:t>8</w:t>
      </w:r>
      <w:r>
        <w:fldChar w:fldCharType="end"/>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begin"/>
      </w:r>
      <w:r>
        <w:instrText xml:space="preserve">PAGEREF _Toc_2_2_0000000006 \h</w:instrText>
      </w:r>
      <w:r>
        <w:fldChar w:fldCharType="separate"/>
      </w:r>
      <w:r>
        <w:rPr>
          <w:rFonts w:hint="eastAsia"/>
          <w:lang w:val="en-US" w:eastAsia="zh-CN"/>
        </w:rPr>
        <w:t>9</w:t>
      </w:r>
      <w:r>
        <w:fldChar w:fldCharType="end"/>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rPr>
          <w:rFonts w:hint="eastAsia"/>
          <w:lang w:val="en-US" w:eastAsia="zh-CN"/>
        </w:rPr>
        <w:t>11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rPr>
          <w:rFonts w:hint="eastAsia"/>
          <w:lang w:val="en-US" w:eastAsia="zh-CN"/>
        </w:rPr>
        <w:t>12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rPr>
          <w:rFonts w:hint="eastAsia"/>
          <w:lang w:val="en-US" w:eastAsia="zh-CN"/>
        </w:rP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rPr>
          <w:rFonts w:hint="eastAsia"/>
          <w:lang w:val="en-US" w:eastAsia="zh-CN"/>
        </w:rP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rPr>
          <w:rFonts w:hint="eastAsia"/>
          <w:lang w:val="en-US" w:eastAsia="zh-CN"/>
        </w:rPr>
        <w:t>14</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fldChar w:fldCharType="begin"/>
      </w:r>
      <w:r>
        <w:instrText xml:space="preserve">PAGEREF _Toc_3_3_0000000012 \h</w:instrText>
      </w:r>
      <w:r>
        <w:fldChar w:fldCharType="separate"/>
      </w:r>
      <w:r>
        <w:rPr>
          <w:rFonts w:hint="eastAsia"/>
          <w:lang w:val="en-US" w:eastAsia="zh-CN"/>
        </w:rPr>
        <w:t>15</w:t>
      </w:r>
      <w:r>
        <w:fldChar w:fldCharType="end"/>
      </w:r>
      <w:r>
        <w:fldChar w:fldCharType="end"/>
      </w:r>
    </w:p>
    <w:p>
      <w:pPr>
        <w:pStyle w:val="7"/>
        <w:tabs>
          <w:tab w:val="right" w:leader="dot" w:pos="14562"/>
        </w:tabs>
        <w:sectPr>
          <w:pgSz w:w="16840" w:h="11900" w:orient="landscape"/>
          <w:pgMar w:top="1361" w:right="1021" w:bottom="1134" w:left="1021" w:header="720" w:footer="720" w:gutter="0"/>
          <w:pgNumType w:start="1"/>
          <w:cols w:space="720" w:num="1"/>
        </w:sectPr>
      </w:pP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rPr>
          <w:rFonts w:hint="eastAsia"/>
          <w:lang w:val="en-US" w:eastAsia="zh-CN"/>
        </w:rPr>
        <w:t>15</w:t>
      </w:r>
      <w:r>
        <w:fldChar w:fldCharType="end"/>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val="en-US" w:eastAsia="zh-CN"/>
        </w:rPr>
        <w:t>19</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rPr>
          <w:rFonts w:hint="eastAsia"/>
          <w:lang w:val="en-US" w:eastAsia="zh-CN"/>
        </w:rPr>
        <w:t>22</w:t>
      </w:r>
      <w:r>
        <w:fldChar w:fldCharType="end"/>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val="en-US" w:eastAsia="zh-CN"/>
        </w:rPr>
        <w:t>23</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val="en-US" w:eastAsia="zh-CN"/>
        </w:rPr>
        <w:t>24</w:t>
      </w:r>
      <w:r>
        <w:fldChar w:fldCharType="end"/>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1" w:name="_GoBack"/>
      <w:bookmarkEnd w:id="1"/>
    </w:p>
    <w:p>
      <w:pPr>
        <w:jc w:val="center"/>
        <w:outlineLvl w:val="3"/>
      </w:pPr>
      <w:r>
        <w:rPr>
          <w:rFonts w:ascii="方正小标宋_GBK" w:hAnsi="方正小标宋_GBK" w:eastAsia="方正小标宋_GBK" w:cs="方正小标宋_GBK"/>
          <w:color w:val="000000"/>
          <w:sz w:val="44"/>
        </w:rPr>
        <w:t>一百二十五、霸州市第二十四中学收支预算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501640霸州市第二十四中学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812.16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812.16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812.16</w:t>
            </w:r>
          </w:p>
        </w:tc>
        <w:tc>
          <w:tcPr>
            <w:tcW w:w="4535" w:type="dxa"/>
            <w:vAlign w:val="center"/>
          </w:tcPr>
          <w:p>
            <w:pPr>
              <w:pStyle w:val="24"/>
            </w:pPr>
            <w:r>
              <w:t>本年支出合计</w:t>
            </w:r>
          </w:p>
        </w:tc>
        <w:tc>
          <w:tcPr>
            <w:tcW w:w="2126" w:type="dxa"/>
            <w:vAlign w:val="center"/>
          </w:tcPr>
          <w:p>
            <w:pPr>
              <w:pStyle w:val="25"/>
            </w:pPr>
            <w:r>
              <w:t>812.16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bookmarkStart w:id="0" w:name="_Hlk128331301"/>
            <w:r>
              <w:t>812.16</w:t>
            </w:r>
            <w:bookmarkEnd w:id="0"/>
          </w:p>
        </w:tc>
        <w:tc>
          <w:tcPr>
            <w:tcW w:w="4535" w:type="dxa"/>
            <w:vAlign w:val="center"/>
          </w:tcPr>
          <w:p>
            <w:pPr>
              <w:pStyle w:val="24"/>
            </w:pPr>
            <w:r>
              <w:t>支出总计</w:t>
            </w:r>
          </w:p>
        </w:tc>
        <w:tc>
          <w:tcPr>
            <w:tcW w:w="2126" w:type="dxa"/>
            <w:vAlign w:val="center"/>
          </w:tcPr>
          <w:p>
            <w:pPr>
              <w:pStyle w:val="25"/>
            </w:pPr>
            <w:r>
              <w:t>812.16</w:t>
            </w:r>
          </w:p>
        </w:tc>
      </w:tr>
    </w:tbl>
    <w:p>
      <w:pPr>
        <w:sectPr>
          <w:footerReference r:id="rId5" w:type="default"/>
          <w:footerReference r:id="rId6" w:type="even"/>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501640霸州市第二十四中学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812.16</w:t>
            </w:r>
          </w:p>
        </w:tc>
        <w:tc>
          <w:tcPr>
            <w:tcW w:w="1134" w:type="dxa"/>
            <w:vAlign w:val="center"/>
          </w:tcPr>
          <w:p>
            <w:pPr>
              <w:pStyle w:val="25"/>
            </w:pPr>
            <w:r>
              <w:t>812.16</w:t>
            </w:r>
          </w:p>
        </w:tc>
        <w:tc>
          <w:tcPr>
            <w:tcW w:w="1134" w:type="dxa"/>
            <w:vAlign w:val="center"/>
          </w:tcPr>
          <w:p>
            <w:pPr>
              <w:pStyle w:val="25"/>
            </w:pPr>
            <w:r>
              <w:t>812.16</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812.16</w:t>
            </w:r>
          </w:p>
        </w:tc>
        <w:tc>
          <w:tcPr>
            <w:tcW w:w="1134" w:type="dxa"/>
            <w:vAlign w:val="center"/>
          </w:tcPr>
          <w:p>
            <w:pPr>
              <w:pStyle w:val="21"/>
            </w:pPr>
            <w:r>
              <w:t>812.16</w:t>
            </w:r>
          </w:p>
        </w:tc>
        <w:tc>
          <w:tcPr>
            <w:tcW w:w="1134" w:type="dxa"/>
            <w:vAlign w:val="center"/>
          </w:tcPr>
          <w:p>
            <w:pPr>
              <w:pStyle w:val="21"/>
            </w:pPr>
            <w:r>
              <w:t>812.16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812.16</w:t>
            </w:r>
          </w:p>
        </w:tc>
        <w:tc>
          <w:tcPr>
            <w:tcW w:w="1134" w:type="dxa"/>
            <w:vAlign w:val="center"/>
          </w:tcPr>
          <w:p>
            <w:pPr>
              <w:pStyle w:val="21"/>
            </w:pPr>
            <w:r>
              <w:t>812.16</w:t>
            </w:r>
          </w:p>
        </w:tc>
        <w:tc>
          <w:tcPr>
            <w:tcW w:w="1134" w:type="dxa"/>
            <w:vAlign w:val="center"/>
          </w:tcPr>
          <w:p>
            <w:pPr>
              <w:pStyle w:val="21"/>
            </w:pPr>
            <w:r>
              <w:t>812.16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812.16</w:t>
            </w:r>
          </w:p>
        </w:tc>
        <w:tc>
          <w:tcPr>
            <w:tcW w:w="1134" w:type="dxa"/>
            <w:vAlign w:val="center"/>
          </w:tcPr>
          <w:p>
            <w:pPr>
              <w:pStyle w:val="21"/>
            </w:pPr>
            <w:r>
              <w:t>812.16</w:t>
            </w:r>
          </w:p>
        </w:tc>
        <w:tc>
          <w:tcPr>
            <w:tcW w:w="1134" w:type="dxa"/>
            <w:vAlign w:val="center"/>
          </w:tcPr>
          <w:p>
            <w:pPr>
              <w:pStyle w:val="21"/>
            </w:pPr>
            <w:r>
              <w:t>812.16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501640霸州市第二十四中学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812.16</w:t>
            </w:r>
          </w:p>
        </w:tc>
        <w:tc>
          <w:tcPr>
            <w:tcW w:w="1361" w:type="dxa"/>
            <w:vAlign w:val="center"/>
          </w:tcPr>
          <w:p>
            <w:pPr>
              <w:pStyle w:val="25"/>
            </w:pPr>
            <w:r>
              <w:t>768.21</w:t>
            </w:r>
          </w:p>
        </w:tc>
        <w:tc>
          <w:tcPr>
            <w:tcW w:w="1361" w:type="dxa"/>
            <w:vAlign w:val="center"/>
          </w:tcPr>
          <w:p>
            <w:pPr>
              <w:pStyle w:val="25"/>
            </w:pPr>
            <w:r>
              <w:t>43.95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812.16</w:t>
            </w:r>
          </w:p>
        </w:tc>
        <w:tc>
          <w:tcPr>
            <w:tcW w:w="1361" w:type="dxa"/>
            <w:vAlign w:val="center"/>
          </w:tcPr>
          <w:p>
            <w:pPr>
              <w:pStyle w:val="21"/>
            </w:pPr>
            <w:r>
              <w:t>768.21</w:t>
            </w:r>
          </w:p>
        </w:tc>
        <w:tc>
          <w:tcPr>
            <w:tcW w:w="1361" w:type="dxa"/>
            <w:vAlign w:val="center"/>
          </w:tcPr>
          <w:p>
            <w:pPr>
              <w:pStyle w:val="21"/>
            </w:pPr>
            <w:r>
              <w:t>43.95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812.16</w:t>
            </w:r>
          </w:p>
        </w:tc>
        <w:tc>
          <w:tcPr>
            <w:tcW w:w="1361" w:type="dxa"/>
            <w:vAlign w:val="center"/>
          </w:tcPr>
          <w:p>
            <w:pPr>
              <w:pStyle w:val="21"/>
            </w:pPr>
            <w:r>
              <w:t>768.21</w:t>
            </w:r>
          </w:p>
        </w:tc>
        <w:tc>
          <w:tcPr>
            <w:tcW w:w="1361" w:type="dxa"/>
            <w:vAlign w:val="center"/>
          </w:tcPr>
          <w:p>
            <w:pPr>
              <w:pStyle w:val="21"/>
            </w:pPr>
            <w:r>
              <w:t>43.95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812.16</w:t>
            </w:r>
          </w:p>
        </w:tc>
        <w:tc>
          <w:tcPr>
            <w:tcW w:w="1361" w:type="dxa"/>
            <w:vAlign w:val="center"/>
          </w:tcPr>
          <w:p>
            <w:pPr>
              <w:pStyle w:val="21"/>
            </w:pPr>
            <w:r>
              <w:t>768.21</w:t>
            </w:r>
          </w:p>
        </w:tc>
        <w:tc>
          <w:tcPr>
            <w:tcW w:w="1361" w:type="dxa"/>
            <w:vAlign w:val="center"/>
          </w:tcPr>
          <w:p>
            <w:pPr>
              <w:pStyle w:val="21"/>
            </w:pPr>
            <w:r>
              <w:t>43.95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501640霸州市第二十四中学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812.16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812.16</w:t>
            </w:r>
          </w:p>
        </w:tc>
        <w:tc>
          <w:tcPr>
            <w:tcW w:w="1474" w:type="dxa"/>
            <w:vAlign w:val="center"/>
          </w:tcPr>
          <w:p>
            <w:pPr>
              <w:pStyle w:val="21"/>
            </w:pPr>
            <w:r>
              <w:t>812.16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812.16</w:t>
            </w:r>
          </w:p>
        </w:tc>
        <w:tc>
          <w:tcPr>
            <w:tcW w:w="3402" w:type="dxa"/>
            <w:vAlign w:val="center"/>
          </w:tcPr>
          <w:p>
            <w:pPr>
              <w:pStyle w:val="24"/>
            </w:pPr>
            <w:r>
              <w:t>本年支出合计</w:t>
            </w:r>
          </w:p>
        </w:tc>
        <w:tc>
          <w:tcPr>
            <w:tcW w:w="1474" w:type="dxa"/>
            <w:vAlign w:val="center"/>
          </w:tcPr>
          <w:p>
            <w:pPr>
              <w:pStyle w:val="25"/>
            </w:pPr>
            <w:r>
              <w:t>812.16</w:t>
            </w:r>
          </w:p>
        </w:tc>
        <w:tc>
          <w:tcPr>
            <w:tcW w:w="1474" w:type="dxa"/>
            <w:vAlign w:val="center"/>
          </w:tcPr>
          <w:p>
            <w:pPr>
              <w:pStyle w:val="25"/>
            </w:pPr>
            <w:r>
              <w:t>812.16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812.16</w:t>
            </w:r>
          </w:p>
        </w:tc>
        <w:tc>
          <w:tcPr>
            <w:tcW w:w="3402" w:type="dxa"/>
            <w:vAlign w:val="center"/>
          </w:tcPr>
          <w:p>
            <w:pPr>
              <w:pStyle w:val="24"/>
            </w:pPr>
            <w:r>
              <w:t>支出总计</w:t>
            </w:r>
          </w:p>
        </w:tc>
        <w:tc>
          <w:tcPr>
            <w:tcW w:w="1474" w:type="dxa"/>
            <w:vAlign w:val="center"/>
          </w:tcPr>
          <w:p>
            <w:pPr>
              <w:pStyle w:val="25"/>
            </w:pPr>
            <w:r>
              <w:t>812.16</w:t>
            </w:r>
          </w:p>
        </w:tc>
        <w:tc>
          <w:tcPr>
            <w:tcW w:w="1474" w:type="dxa"/>
            <w:vAlign w:val="center"/>
          </w:tcPr>
          <w:p>
            <w:pPr>
              <w:pStyle w:val="25"/>
            </w:pPr>
            <w:r>
              <w:t>812.16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501640霸州市第二十四中学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812.16</w:t>
            </w:r>
          </w:p>
        </w:tc>
        <w:tc>
          <w:tcPr>
            <w:tcW w:w="2551" w:type="dxa"/>
            <w:vAlign w:val="center"/>
          </w:tcPr>
          <w:p>
            <w:pPr>
              <w:pStyle w:val="25"/>
            </w:pPr>
            <w:r>
              <w:t>768.21</w:t>
            </w:r>
          </w:p>
        </w:tc>
        <w:tc>
          <w:tcPr>
            <w:tcW w:w="2551" w:type="dxa"/>
            <w:vAlign w:val="center"/>
          </w:tcPr>
          <w:p>
            <w:pPr>
              <w:pStyle w:val="25"/>
            </w:pPr>
            <w: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812.16</w:t>
            </w:r>
          </w:p>
        </w:tc>
        <w:tc>
          <w:tcPr>
            <w:tcW w:w="2551" w:type="dxa"/>
            <w:vAlign w:val="center"/>
          </w:tcPr>
          <w:p>
            <w:pPr>
              <w:pStyle w:val="21"/>
            </w:pPr>
            <w:r>
              <w:t>768.21</w:t>
            </w:r>
          </w:p>
        </w:tc>
        <w:tc>
          <w:tcPr>
            <w:tcW w:w="2551" w:type="dxa"/>
            <w:vAlign w:val="center"/>
          </w:tcPr>
          <w:p>
            <w:pPr>
              <w:pStyle w:val="21"/>
            </w:pPr>
            <w: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812.16</w:t>
            </w:r>
          </w:p>
        </w:tc>
        <w:tc>
          <w:tcPr>
            <w:tcW w:w="2551" w:type="dxa"/>
            <w:vAlign w:val="center"/>
          </w:tcPr>
          <w:p>
            <w:pPr>
              <w:pStyle w:val="21"/>
            </w:pPr>
            <w:r>
              <w:t>768.21</w:t>
            </w:r>
          </w:p>
        </w:tc>
        <w:tc>
          <w:tcPr>
            <w:tcW w:w="2551" w:type="dxa"/>
            <w:vAlign w:val="center"/>
          </w:tcPr>
          <w:p>
            <w:pPr>
              <w:pStyle w:val="21"/>
            </w:pPr>
            <w:r>
              <w:t>43.95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812.16</w:t>
            </w:r>
          </w:p>
        </w:tc>
        <w:tc>
          <w:tcPr>
            <w:tcW w:w="2551" w:type="dxa"/>
            <w:vAlign w:val="center"/>
          </w:tcPr>
          <w:p>
            <w:pPr>
              <w:pStyle w:val="21"/>
            </w:pPr>
            <w:r>
              <w:t>768.21</w:t>
            </w:r>
          </w:p>
        </w:tc>
        <w:tc>
          <w:tcPr>
            <w:tcW w:w="2551" w:type="dxa"/>
            <w:vAlign w:val="center"/>
          </w:tcPr>
          <w:p>
            <w:pPr>
              <w:pStyle w:val="21"/>
            </w:pPr>
            <w:r>
              <w:t>43.95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501640霸州市第二十四中学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768.21</w:t>
            </w:r>
          </w:p>
        </w:tc>
        <w:tc>
          <w:tcPr>
            <w:tcW w:w="2551" w:type="dxa"/>
            <w:vAlign w:val="center"/>
          </w:tcPr>
          <w:p>
            <w:pPr>
              <w:pStyle w:val="25"/>
            </w:pPr>
            <w:r>
              <w:t>756.97</w:t>
            </w:r>
          </w:p>
        </w:tc>
        <w:tc>
          <w:tcPr>
            <w:tcW w:w="2551" w:type="dxa"/>
            <w:vAlign w:val="center"/>
          </w:tcPr>
          <w:p>
            <w:pPr>
              <w:pStyle w:val="25"/>
            </w:pPr>
            <w:r>
              <w:t>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662.75</w:t>
            </w:r>
          </w:p>
        </w:tc>
        <w:tc>
          <w:tcPr>
            <w:tcW w:w="2551" w:type="dxa"/>
            <w:vAlign w:val="center"/>
          </w:tcPr>
          <w:p>
            <w:pPr>
              <w:pStyle w:val="21"/>
            </w:pPr>
            <w:r>
              <w:t>662.75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188.33</w:t>
            </w:r>
          </w:p>
        </w:tc>
        <w:tc>
          <w:tcPr>
            <w:tcW w:w="2551" w:type="dxa"/>
            <w:vAlign w:val="center"/>
          </w:tcPr>
          <w:p>
            <w:pPr>
              <w:pStyle w:val="21"/>
            </w:pPr>
            <w:r>
              <w:t>188.33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38.74</w:t>
            </w:r>
          </w:p>
        </w:tc>
        <w:tc>
          <w:tcPr>
            <w:tcW w:w="2551" w:type="dxa"/>
            <w:vAlign w:val="center"/>
          </w:tcPr>
          <w:p>
            <w:pPr>
              <w:pStyle w:val="21"/>
            </w:pPr>
            <w:r>
              <w:t>38.74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229.28</w:t>
            </w:r>
          </w:p>
        </w:tc>
        <w:tc>
          <w:tcPr>
            <w:tcW w:w="2551" w:type="dxa"/>
            <w:vAlign w:val="center"/>
          </w:tcPr>
          <w:p>
            <w:pPr>
              <w:pStyle w:val="21"/>
            </w:pPr>
            <w:r>
              <w:t>229.28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57.92</w:t>
            </w:r>
          </w:p>
        </w:tc>
        <w:tc>
          <w:tcPr>
            <w:tcW w:w="2551" w:type="dxa"/>
            <w:vAlign w:val="center"/>
          </w:tcPr>
          <w:p>
            <w:pPr>
              <w:pStyle w:val="21"/>
            </w:pPr>
            <w:r>
              <w:t>57.92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22.05</w:t>
            </w:r>
          </w:p>
        </w:tc>
        <w:tc>
          <w:tcPr>
            <w:tcW w:w="2551" w:type="dxa"/>
            <w:vAlign w:val="center"/>
          </w:tcPr>
          <w:p>
            <w:pPr>
              <w:pStyle w:val="21"/>
            </w:pPr>
            <w:r>
              <w:t>22.05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16.58</w:t>
            </w:r>
          </w:p>
        </w:tc>
        <w:tc>
          <w:tcPr>
            <w:tcW w:w="2551" w:type="dxa"/>
            <w:vAlign w:val="center"/>
          </w:tcPr>
          <w:p>
            <w:pPr>
              <w:pStyle w:val="21"/>
            </w:pPr>
            <w:r>
              <w:t>16.58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4.18</w:t>
            </w:r>
          </w:p>
        </w:tc>
        <w:tc>
          <w:tcPr>
            <w:tcW w:w="2551" w:type="dxa"/>
            <w:vAlign w:val="center"/>
          </w:tcPr>
          <w:p>
            <w:pPr>
              <w:pStyle w:val="21"/>
            </w:pPr>
            <w:r>
              <w:t>4.18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46.90</w:t>
            </w:r>
          </w:p>
        </w:tc>
        <w:tc>
          <w:tcPr>
            <w:tcW w:w="2551" w:type="dxa"/>
            <w:vAlign w:val="center"/>
          </w:tcPr>
          <w:p>
            <w:pPr>
              <w:pStyle w:val="21"/>
            </w:pPr>
            <w:r>
              <w:t>46.90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58.77</w:t>
            </w:r>
          </w:p>
        </w:tc>
        <w:tc>
          <w:tcPr>
            <w:tcW w:w="2551" w:type="dxa"/>
            <w:vAlign w:val="center"/>
          </w:tcPr>
          <w:p>
            <w:pPr>
              <w:pStyle w:val="21"/>
            </w:pPr>
            <w:r>
              <w:t>58.77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11.24</w:t>
            </w:r>
          </w:p>
        </w:tc>
        <w:tc>
          <w:tcPr>
            <w:tcW w:w="2551" w:type="dxa"/>
            <w:vAlign w:val="center"/>
          </w:tcPr>
          <w:p>
            <w:pPr>
              <w:pStyle w:val="21"/>
            </w:pPr>
          </w:p>
        </w:tc>
        <w:tc>
          <w:tcPr>
            <w:tcW w:w="2551" w:type="dxa"/>
            <w:vAlign w:val="center"/>
          </w:tcPr>
          <w:p>
            <w:pPr>
              <w:pStyle w:val="21"/>
            </w:pPr>
            <w:r>
              <w:t>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6.44</w:t>
            </w:r>
          </w:p>
        </w:tc>
        <w:tc>
          <w:tcPr>
            <w:tcW w:w="2551" w:type="dxa"/>
            <w:vAlign w:val="center"/>
          </w:tcPr>
          <w:p>
            <w:pPr>
              <w:pStyle w:val="21"/>
            </w:pPr>
          </w:p>
        </w:tc>
        <w:tc>
          <w:tcPr>
            <w:tcW w:w="2551" w:type="dxa"/>
            <w:vAlign w:val="center"/>
          </w:tcPr>
          <w:p>
            <w:pPr>
              <w:pStyle w:val="21"/>
            </w:pPr>
            <w:r>
              <w:t>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4.80</w:t>
            </w:r>
          </w:p>
        </w:tc>
        <w:tc>
          <w:tcPr>
            <w:tcW w:w="2551" w:type="dxa"/>
            <w:vAlign w:val="center"/>
          </w:tcPr>
          <w:p>
            <w:pPr>
              <w:pStyle w:val="21"/>
            </w:pPr>
          </w:p>
        </w:tc>
        <w:tc>
          <w:tcPr>
            <w:tcW w:w="2551" w:type="dxa"/>
            <w:vAlign w:val="center"/>
          </w:tcPr>
          <w:p>
            <w:pPr>
              <w:pStyle w:val="21"/>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94.22</w:t>
            </w:r>
          </w:p>
        </w:tc>
        <w:tc>
          <w:tcPr>
            <w:tcW w:w="2551" w:type="dxa"/>
            <w:vAlign w:val="center"/>
          </w:tcPr>
          <w:p>
            <w:pPr>
              <w:pStyle w:val="21"/>
            </w:pPr>
            <w:r>
              <w:t>94.22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53.85</w:t>
            </w:r>
          </w:p>
        </w:tc>
        <w:tc>
          <w:tcPr>
            <w:tcW w:w="2551" w:type="dxa"/>
            <w:vAlign w:val="center"/>
          </w:tcPr>
          <w:p>
            <w:pPr>
              <w:pStyle w:val="21"/>
            </w:pPr>
            <w:r>
              <w:t>53.85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30304</w:t>
            </w:r>
          </w:p>
        </w:tc>
        <w:tc>
          <w:tcPr>
            <w:tcW w:w="4535" w:type="dxa"/>
            <w:vAlign w:val="center"/>
          </w:tcPr>
          <w:p>
            <w:pPr>
              <w:pStyle w:val="22"/>
            </w:pPr>
            <w:r>
              <w:t>抚恤金</w:t>
            </w:r>
          </w:p>
        </w:tc>
        <w:tc>
          <w:tcPr>
            <w:tcW w:w="2551" w:type="dxa"/>
            <w:vAlign w:val="center"/>
          </w:tcPr>
          <w:p>
            <w:pPr>
              <w:pStyle w:val="21"/>
            </w:pPr>
            <w:r>
              <w:t>4.70</w:t>
            </w:r>
          </w:p>
        </w:tc>
        <w:tc>
          <w:tcPr>
            <w:tcW w:w="2551" w:type="dxa"/>
            <w:vAlign w:val="center"/>
          </w:tcPr>
          <w:p>
            <w:pPr>
              <w:pStyle w:val="21"/>
            </w:pPr>
            <w:r>
              <w:t>4.70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1.24</w:t>
            </w:r>
          </w:p>
        </w:tc>
        <w:tc>
          <w:tcPr>
            <w:tcW w:w="2551" w:type="dxa"/>
            <w:vAlign w:val="center"/>
          </w:tcPr>
          <w:p>
            <w:pPr>
              <w:pStyle w:val="21"/>
            </w:pPr>
            <w:r>
              <w:t>1.24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34.35</w:t>
            </w:r>
          </w:p>
        </w:tc>
        <w:tc>
          <w:tcPr>
            <w:tcW w:w="2551" w:type="dxa"/>
            <w:vAlign w:val="center"/>
          </w:tcPr>
          <w:p>
            <w:pPr>
              <w:pStyle w:val="21"/>
            </w:pPr>
            <w:r>
              <w:t>34.35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0.08</w:t>
            </w:r>
          </w:p>
        </w:tc>
        <w:tc>
          <w:tcPr>
            <w:tcW w:w="2551" w:type="dxa"/>
            <w:vAlign w:val="center"/>
          </w:tcPr>
          <w:p>
            <w:pPr>
              <w:pStyle w:val="21"/>
            </w:pPr>
            <w:r>
              <w:t>0.08</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501640霸州市第二十四中学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501640霸州市第二十四中学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501640霸州市第二十四中学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1</w:t>
            </w:r>
          </w:p>
        </w:tc>
        <w:tc>
          <w:tcPr>
            <w:tcW w:w="3798" w:type="dxa"/>
            <w:vAlign w:val="center"/>
          </w:tcPr>
          <w:p>
            <w:pPr>
              <w:pStyle w:val="24"/>
              <w:rPr>
                <w:rFonts w:ascii="方正书宋_GBK" w:hAnsi="方正书宋_GBK" w:eastAsia="方正书宋_GBK" w:cs="方正书宋_GBK"/>
                <w:b/>
                <w:kern w:val="0"/>
                <w:sz w:val="21"/>
                <w:szCs w:val="24"/>
                <w:lang w:val="en-US" w:eastAsia="uk-UA" w:bidi="ar-SA"/>
              </w:rPr>
            </w:pPr>
            <w:r>
              <w:t>合计</w:t>
            </w:r>
          </w:p>
        </w:tc>
        <w:tc>
          <w:tcPr>
            <w:tcW w:w="2382" w:type="dxa"/>
            <w:vAlign w:val="center"/>
          </w:tcPr>
          <w:p>
            <w:pPr>
              <w:pStyle w:val="25"/>
              <w:jc w:val="right"/>
              <w:rPr>
                <w:rFonts w:ascii="方正书宋_GBK" w:hAnsi="方正书宋_GBK" w:eastAsia="方正书宋_GBK" w:cs="方正书宋_GBK"/>
                <w:b/>
                <w:kern w:val="0"/>
                <w:sz w:val="21"/>
                <w:szCs w:val="24"/>
                <w:lang w:val="en-US" w:eastAsia="uk-UA" w:bidi="ar-SA"/>
              </w:rPr>
            </w:pPr>
            <w:r>
              <w:t>0.00</w:t>
            </w:r>
          </w:p>
        </w:tc>
        <w:tc>
          <w:tcPr>
            <w:tcW w:w="2381" w:type="dxa"/>
            <w:vAlign w:val="center"/>
          </w:tcPr>
          <w:p>
            <w:pPr>
              <w:pStyle w:val="25"/>
              <w:jc w:val="right"/>
              <w:rPr>
                <w:rFonts w:hint="eastAsia" w:ascii="方正书宋_GBK" w:hAnsi="方正书宋_GBK" w:eastAsia="方正书宋_GBK" w:cs="方正书宋_GBK"/>
                <w:b/>
                <w:kern w:val="0"/>
                <w:sz w:val="21"/>
                <w:szCs w:val="24"/>
                <w:lang w:val="en-US" w:eastAsia="zh-CN" w:bidi="ar-SA"/>
              </w:rPr>
            </w:pPr>
            <w:r>
              <w:rPr>
                <w:rFonts w:hint="eastAsia"/>
                <w:lang w:eastAsia="zh-CN"/>
              </w:rPr>
              <w:t>0.00</w:t>
            </w: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2</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一、因公出国（境）费</w:t>
            </w:r>
          </w:p>
        </w:tc>
        <w:tc>
          <w:tcPr>
            <w:tcW w:w="0" w:type="auto"/>
            <w:vAlign w:val="center"/>
          </w:tcPr>
          <w:p>
            <w:pPr>
              <w:pStyle w:val="21"/>
              <w:jc w:val="right"/>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jc w:val="right"/>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3</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0" w:type="auto"/>
            <w:vAlign w:val="center"/>
          </w:tcPr>
          <w:p>
            <w:pPr>
              <w:pStyle w:val="21"/>
              <w:jc w:val="right"/>
              <w:rPr>
                <w:rFonts w:hint="default" w:ascii="方正书宋_GBK" w:hAnsi="方正书宋_GBK" w:eastAsia="方正书宋_GBK" w:cs="方正书宋_GBK"/>
                <w:kern w:val="0"/>
                <w:sz w:val="21"/>
                <w:szCs w:val="24"/>
                <w:lang w:val="en-US" w:eastAsia="zh-CN" w:bidi="ar-SA"/>
              </w:rPr>
            </w:pPr>
            <w:r>
              <w:rPr>
                <w:rFonts w:hint="eastAsia"/>
                <w:lang w:val="en-US" w:eastAsia="zh-CN"/>
              </w:rPr>
              <w:t>0.00</w:t>
            </w:r>
          </w:p>
        </w:tc>
        <w:tc>
          <w:tcPr>
            <w:tcW w:w="0" w:type="auto"/>
            <w:vAlign w:val="center"/>
          </w:tcPr>
          <w:p>
            <w:pPr>
              <w:pStyle w:val="21"/>
              <w:jc w:val="right"/>
              <w:rPr>
                <w:rFonts w:hint="default" w:ascii="方正书宋_GBK" w:hAnsi="方正书宋_GBK" w:eastAsia="方正书宋_GBK" w:cs="方正书宋_GBK"/>
                <w:kern w:val="0"/>
                <w:sz w:val="21"/>
                <w:szCs w:val="24"/>
                <w:lang w:val="en-US" w:eastAsia="zh-CN" w:bidi="ar-SA"/>
              </w:rPr>
            </w:pPr>
            <w:r>
              <w:rPr>
                <w:rFonts w:hint="eastAsia"/>
                <w:lang w:val="en-US" w:eastAsia="zh-CN"/>
              </w:rP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4</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0" w:type="auto"/>
            <w:vAlign w:val="center"/>
          </w:tcPr>
          <w:p>
            <w:pPr>
              <w:pStyle w:val="21"/>
              <w:jc w:val="right"/>
              <w:rPr>
                <w:rFonts w:hint="default" w:ascii="方正书宋_GBK" w:hAnsi="方正书宋_GBK" w:eastAsia="方正书宋_GBK" w:cs="方正书宋_GBK"/>
                <w:kern w:val="0"/>
                <w:sz w:val="21"/>
                <w:szCs w:val="24"/>
                <w:lang w:val="en-US" w:eastAsia="zh-CN" w:bidi="ar-SA"/>
              </w:rPr>
            </w:pPr>
            <w:r>
              <w:rPr>
                <w:rFonts w:hint="eastAsia"/>
                <w:lang w:val="en-US" w:eastAsia="zh-CN"/>
              </w:rPr>
              <w:t>0.00</w:t>
            </w:r>
          </w:p>
        </w:tc>
        <w:tc>
          <w:tcPr>
            <w:tcW w:w="0" w:type="auto"/>
            <w:vAlign w:val="center"/>
          </w:tcPr>
          <w:p>
            <w:pPr>
              <w:pStyle w:val="21"/>
              <w:jc w:val="right"/>
              <w:rPr>
                <w:rFonts w:hint="default" w:ascii="方正书宋_GBK" w:hAnsi="方正书宋_GBK" w:eastAsia="方正书宋_GBK" w:cs="方正书宋_GBK"/>
                <w:kern w:val="0"/>
                <w:sz w:val="21"/>
                <w:szCs w:val="24"/>
                <w:lang w:val="en-US" w:eastAsia="zh-CN" w:bidi="ar-SA"/>
              </w:rPr>
            </w:pPr>
            <w:r>
              <w:rPr>
                <w:rFonts w:hint="eastAsia"/>
                <w:lang w:val="en-US" w:eastAsia="zh-CN"/>
              </w:rP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5</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0" w:type="auto"/>
            <w:vAlign w:val="center"/>
          </w:tcPr>
          <w:p>
            <w:pPr>
              <w:pStyle w:val="21"/>
              <w:jc w:val="right"/>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jc w:val="right"/>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6</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0" w:type="auto"/>
            <w:vAlign w:val="center"/>
          </w:tcPr>
          <w:p>
            <w:pPr>
              <w:pStyle w:val="21"/>
              <w:jc w:val="right"/>
              <w:rPr>
                <w:rFonts w:hint="default" w:ascii="方正书宋_GBK" w:hAnsi="方正书宋_GBK" w:eastAsia="方正书宋_GBK" w:cs="方正书宋_GBK"/>
                <w:kern w:val="0"/>
                <w:sz w:val="21"/>
                <w:szCs w:val="24"/>
                <w:lang w:val="en-US" w:eastAsia="zh-CN" w:bidi="ar-SA"/>
              </w:rPr>
            </w:pPr>
            <w:r>
              <w:rPr>
                <w:rFonts w:hint="eastAsia"/>
                <w:lang w:val="en-US" w:eastAsia="zh-CN"/>
              </w:rPr>
              <w:t>0.00</w:t>
            </w:r>
          </w:p>
        </w:tc>
        <w:tc>
          <w:tcPr>
            <w:tcW w:w="0" w:type="auto"/>
            <w:vAlign w:val="center"/>
          </w:tcPr>
          <w:p>
            <w:pPr>
              <w:bidi w:val="0"/>
              <w:jc w:val="right"/>
              <w:rPr>
                <w:rFonts w:hint="default" w:ascii="Times New Roman" w:hAnsi="Times New Roman" w:eastAsia="Times New Roman" w:cs="Times New Roman"/>
                <w:kern w:val="0"/>
                <w:sz w:val="24"/>
                <w:szCs w:val="24"/>
                <w:lang w:val="en-US" w:eastAsia="zh-CN" w:bidi="ar-SA"/>
              </w:rPr>
            </w:pPr>
            <w:r>
              <w:rPr>
                <w:rFonts w:hint="eastAsia"/>
                <w:lang w:val="en-US" w:eastAsia="zh-CN"/>
              </w:rP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7</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0" w:type="auto"/>
            <w:vAlign w:val="center"/>
          </w:tcPr>
          <w:p>
            <w:pPr>
              <w:pStyle w:val="21"/>
              <w:jc w:val="right"/>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jc w:val="right"/>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8</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0" w:type="auto"/>
            <w:vAlign w:val="center"/>
          </w:tcPr>
          <w:p>
            <w:pPr>
              <w:pStyle w:val="21"/>
              <w:jc w:val="right"/>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jc w:val="right"/>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霸州市第二十四中学2023年单位预算信息公开情况说明</w:t>
      </w:r>
    </w:p>
    <w:p>
      <w:pPr>
        <w:spacing w:line="500" w:lineRule="exact"/>
        <w:ind w:firstLine="560"/>
        <w:jc w:val="both"/>
      </w:pPr>
      <w:r>
        <w:rPr>
          <w:rFonts w:eastAsia="方正仿宋_GBK"/>
          <w:color w:val="000000"/>
          <w:sz w:val="28"/>
        </w:rPr>
        <w:t>按照《预算法》、《地方预决算公开操作规程》和《关于进一步推进预算公开工作的实施意见》规定，现将霸州市第二十四中学2023年单位预算公开如下：</w:t>
      </w:r>
    </w:p>
    <w:p>
      <w:pPr>
        <w:spacing w:before="10" w:after="10" w:line="500" w:lineRule="exact"/>
        <w:ind w:firstLine="640"/>
        <w:jc w:val="both"/>
      </w:pPr>
      <w:r>
        <w:rPr>
          <w:rFonts w:ascii="黑体" w:hAnsi="黑体" w:eastAsia="黑体" w:cs="黑体"/>
          <w:color w:val="000000"/>
          <w:sz w:val="32"/>
        </w:rPr>
        <w:t>一、单位职责及机构设置情况</w:t>
      </w:r>
    </w:p>
    <w:p>
      <w:pPr>
        <w:spacing w:line="500" w:lineRule="exact"/>
        <w:ind w:firstLine="640"/>
        <w:jc w:val="both"/>
      </w:pPr>
      <w:r>
        <w:rPr>
          <w:rFonts w:ascii="方正楷体_GBK" w:hAnsi="方正楷体_GBK" w:eastAsia="方正楷体_GBK" w:cs="方正楷体_GBK"/>
          <w:b/>
          <w:color w:val="000000"/>
          <w:sz w:val="32"/>
        </w:rPr>
        <w:t>单位职责：</w:t>
      </w:r>
    </w:p>
    <w:p>
      <w:pPr>
        <w:spacing w:line="500" w:lineRule="exact"/>
        <w:ind w:firstLine="560" w:firstLineChars="200"/>
        <w:jc w:val="both"/>
        <w:rPr>
          <w:rFonts w:eastAsia="方正仿宋_GBK"/>
          <w:color w:val="000000"/>
          <w:sz w:val="28"/>
          <w:lang w:val="uk-UA"/>
        </w:rPr>
      </w:pPr>
      <w:r>
        <w:rPr>
          <w:rFonts w:hint="eastAsia" w:eastAsia="方正仿宋_GBK"/>
          <w:color w:val="000000"/>
          <w:sz w:val="28"/>
        </w:rPr>
        <w:t>实施初中义务教育，促进基础教育发展。初中学历教育。</w:t>
      </w:r>
    </w:p>
    <w:p>
      <w:pPr>
        <w:spacing w:line="500" w:lineRule="exact"/>
        <w:ind w:firstLine="640"/>
        <w:jc w:val="both"/>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22"/>
            </w:pPr>
            <w:r>
              <w:t>霸州市第二十四中学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line="500" w:lineRule="exact"/>
        <w:ind w:firstLine="640"/>
        <w:jc w:val="both"/>
      </w:pPr>
      <w:r>
        <w:rPr>
          <w:rFonts w:ascii="黑体" w:hAnsi="黑体" w:eastAsia="黑体" w:cs="黑体"/>
          <w:color w:val="000000"/>
          <w:sz w:val="32"/>
        </w:rPr>
        <w:t>二、单位预算安排的总体情况</w:t>
      </w:r>
    </w:p>
    <w:p>
      <w:pPr>
        <w:spacing w:line="500" w:lineRule="exact"/>
        <w:ind w:firstLine="560"/>
        <w:jc w:val="both"/>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hint="eastAsia" w:ascii="方正仿宋_GBK"/>
        </w:rPr>
      </w:pPr>
      <w:r>
        <w:rPr>
          <w:rFonts w:hint="eastAsia" w:ascii="方正仿宋_GBK"/>
        </w:rPr>
        <w:t>反映本单位当年全部收入。2023年预算收入812.16万元，其中：一般公共预算收入812.16万元，基金预算收入</w:t>
      </w:r>
      <w:r>
        <w:rPr>
          <w:rFonts w:hint="eastAsia" w:ascii="方正仿宋_GBK"/>
          <w:lang w:val="uk-UA"/>
        </w:rPr>
        <w:t>0</w:t>
      </w:r>
      <w:r>
        <w:rPr>
          <w:rFonts w:hint="eastAsia" w:ascii="方正仿宋_GBK"/>
        </w:rPr>
        <w:t>万元，财政专户核拨收入</w:t>
      </w:r>
      <w:r>
        <w:rPr>
          <w:rFonts w:hint="eastAsia" w:ascii="方正仿宋_GBK"/>
          <w:lang w:val="uk-UA"/>
        </w:rPr>
        <w:t>0</w:t>
      </w:r>
      <w:r>
        <w:rPr>
          <w:rFonts w:hint="eastAsia" w:ascii="方正仿宋_GBK"/>
        </w:rPr>
        <w:t>万元，其他来源收入</w:t>
      </w:r>
      <w:r>
        <w:rPr>
          <w:rFonts w:hint="eastAsia" w:ascii="方正仿宋_GBK"/>
          <w:lang w:val="uk-UA"/>
        </w:rPr>
        <w:t>0</w:t>
      </w:r>
      <w:r>
        <w:rPr>
          <w:rFonts w:hint="eastAsia" w:ascii="方正仿宋_GBK"/>
        </w:rPr>
        <w:t>万元，上年结转</w:t>
      </w:r>
      <w:r>
        <w:rPr>
          <w:rFonts w:hint="eastAsia" w:ascii="方正仿宋_GBK"/>
          <w:lang w:val="uk-UA"/>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hint="default" w:ascii="方正仿宋_GBK"/>
          <w:lang w:val="en-US" w:eastAsia="zh-CN"/>
        </w:rPr>
      </w:pPr>
      <w:r>
        <w:rPr>
          <w:rFonts w:hint="eastAsia" w:ascii="方正仿宋_GBK"/>
        </w:rPr>
        <w:t>收支预算总表支出栏、基本支出表、项目支出表按经济分类和支出功能分类科目编制，反映霸州</w:t>
      </w:r>
      <w:r>
        <w:rPr>
          <w:rFonts w:hint="eastAsia" w:ascii="方正仿宋_GBK"/>
          <w:lang w:eastAsia="zh-CN"/>
        </w:rPr>
        <w:t>市第二十四中学</w:t>
      </w:r>
      <w:r>
        <w:rPr>
          <w:rFonts w:hint="eastAsia" w:ascii="方正仿宋_GBK"/>
        </w:rPr>
        <w:t>2023年度单位预算中支出预算的总体情况。2023年支出预算812.16万元，其中：基本支出768.21万元，包括人员经费756.97万元和日常公用经费11.24万元；项目支出43.95万元，主要为：城乡义务教育补助生均公用经费本级配套资金</w:t>
      </w:r>
      <w:r>
        <w:rPr>
          <w:rFonts w:hint="eastAsia" w:ascii="方正仿宋_GBK"/>
          <w:lang w:val="en-US" w:eastAsia="zh-CN"/>
        </w:rPr>
        <w:t>1.71万元；</w:t>
      </w:r>
      <w:r>
        <w:rPr>
          <w:rFonts w:hint="eastAsia" w:ascii="方正仿宋_GBK"/>
        </w:rPr>
        <w:t>关于提前下达2023年城乡义务教育省级补助资金预算的通知(公用经费)(冀财教[2022]162号)</w:t>
      </w:r>
      <w:r>
        <w:rPr>
          <w:rFonts w:hint="eastAsia" w:ascii="方正仿宋_GBK"/>
          <w:lang w:val="en-US" w:eastAsia="zh-CN"/>
        </w:rPr>
        <w:t xml:space="preserve"> 13.24万元</w:t>
      </w:r>
      <w:r>
        <w:rPr>
          <w:rFonts w:hint="eastAsia" w:ascii="方正仿宋_GBK"/>
          <w:lang w:eastAsia="zh-CN"/>
        </w:rPr>
        <w:t>；</w:t>
      </w:r>
      <w:r>
        <w:rPr>
          <w:rFonts w:hint="eastAsia" w:ascii="方正仿宋_GBK"/>
        </w:rPr>
        <w:t>关于提前下达2023年城乡义务教育中央补助经费预算的通知(公用经费)(冀财教[2022]179号)</w:t>
      </w:r>
      <w:r>
        <w:rPr>
          <w:rFonts w:hint="eastAsia" w:ascii="方正仿宋_GBK"/>
          <w:lang w:val="en-US" w:eastAsia="zh-CN"/>
        </w:rPr>
        <w:t>29万元。</w:t>
      </w:r>
    </w:p>
    <w:p>
      <w:pPr>
        <w:pStyle w:val="36"/>
        <w:jc w:val="both"/>
        <w:rPr>
          <w:rFonts w:ascii="方正仿宋_GBK"/>
        </w:rPr>
      </w:pPr>
      <w:r>
        <w:rPr>
          <w:rFonts w:hint="eastAsia" w:ascii="方正仿宋_GBK"/>
        </w:rPr>
        <w:t>3、比上年增减情况</w:t>
      </w:r>
    </w:p>
    <w:p>
      <w:pPr>
        <w:pStyle w:val="36"/>
        <w:jc w:val="both"/>
        <w:rPr>
          <w:rFonts w:hint="eastAsia" w:ascii="方正仿宋_GBK"/>
        </w:rPr>
      </w:pPr>
      <w:r>
        <w:rPr>
          <w:rFonts w:hint="eastAsia" w:ascii="方正仿宋_GBK"/>
        </w:rPr>
        <w:t>2023年预算收支安排812.16万元，较2022年预算增加</w:t>
      </w:r>
      <w:r>
        <w:rPr>
          <w:rFonts w:hint="eastAsia" w:ascii="方正仿宋_GBK"/>
          <w:lang w:val="uk-UA"/>
        </w:rPr>
        <w:t>98</w:t>
      </w:r>
      <w:r>
        <w:rPr>
          <w:rFonts w:hint="eastAsia" w:ascii="方正仿宋_GBK"/>
          <w:lang w:val="uk-UA" w:eastAsia="zh-CN"/>
        </w:rPr>
        <w:t>.05</w:t>
      </w:r>
      <w:r>
        <w:rPr>
          <w:rFonts w:hint="eastAsia" w:ascii="方正仿宋_GBK"/>
        </w:rPr>
        <w:t>万元，其中：基本支出增加95.99万元，主要为</w:t>
      </w:r>
      <w:r>
        <w:rPr>
          <w:rFonts w:hint="eastAsia" w:ascii="方正仿宋_GBK"/>
          <w:lang w:val="uk-UA" w:eastAsia="zh-CN"/>
        </w:rPr>
        <w:t>人员经费</w:t>
      </w:r>
      <w:r>
        <w:rPr>
          <w:rFonts w:hint="eastAsia" w:ascii="方正仿宋_GBK"/>
        </w:rPr>
        <w:t>支出</w:t>
      </w:r>
      <w:r>
        <w:rPr>
          <w:rFonts w:hint="eastAsia" w:ascii="方正仿宋_GBK"/>
          <w:lang w:eastAsia="zh-CN"/>
        </w:rPr>
        <w:t>增加95.53万元</w:t>
      </w:r>
      <w:r>
        <w:rPr>
          <w:rFonts w:hint="eastAsia" w:ascii="方正仿宋_GBK"/>
        </w:rPr>
        <w:t>；日常公用经费</w:t>
      </w:r>
      <w:r>
        <w:rPr>
          <w:rFonts w:hint="eastAsia" w:ascii="方正仿宋_GBK"/>
          <w:lang w:eastAsia="zh-CN"/>
        </w:rPr>
        <w:t>支出增加0.46万元；公用类</w:t>
      </w:r>
      <w:r>
        <w:rPr>
          <w:rFonts w:hint="eastAsia" w:ascii="方正仿宋_GBK"/>
        </w:rPr>
        <w:t>项目支出增加2.06万元，主要为：城乡义务教育补助生均公用经费本级配套资金</w:t>
      </w:r>
      <w:r>
        <w:rPr>
          <w:rFonts w:hint="eastAsia" w:ascii="方正仿宋_GBK"/>
          <w:lang w:eastAsia="zh-CN"/>
        </w:rPr>
        <w:t>增加</w:t>
      </w:r>
      <w:r>
        <w:rPr>
          <w:rFonts w:hint="eastAsia" w:ascii="方正仿宋_GBK"/>
          <w:lang w:val="en-US" w:eastAsia="zh-CN"/>
        </w:rPr>
        <w:t>0.16万元；</w:t>
      </w:r>
      <w:r>
        <w:rPr>
          <w:rFonts w:hint="eastAsia" w:ascii="方正仿宋_GBK"/>
        </w:rPr>
        <w:t>关于提前下达2023年城乡义务教育省级补助资金预算的通知(公用经费)(冀财教[2022]162号)</w:t>
      </w:r>
      <w:r>
        <w:rPr>
          <w:rFonts w:hint="eastAsia" w:ascii="方正仿宋_GBK"/>
          <w:lang w:val="en-US" w:eastAsia="zh-CN"/>
        </w:rPr>
        <w:t xml:space="preserve"> 减少0.1万元</w:t>
      </w:r>
      <w:r>
        <w:rPr>
          <w:rFonts w:hint="eastAsia" w:ascii="方正仿宋_GBK"/>
          <w:lang w:eastAsia="zh-CN"/>
        </w:rPr>
        <w:t>；</w:t>
      </w:r>
      <w:r>
        <w:rPr>
          <w:rFonts w:hint="eastAsia" w:ascii="方正仿宋_GBK"/>
        </w:rPr>
        <w:t>关于提前下达2023年城乡义务教育中央补助经费预算的通知(公用经费)(冀财教[2022]179号)</w:t>
      </w:r>
      <w:r>
        <w:rPr>
          <w:rFonts w:hint="eastAsia" w:ascii="方正仿宋_GBK"/>
          <w:lang w:eastAsia="zh-CN"/>
        </w:rPr>
        <w:t>增加</w:t>
      </w:r>
      <w:r>
        <w:rPr>
          <w:rFonts w:hint="eastAsia" w:ascii="方正仿宋_GBK"/>
          <w:lang w:val="en-US" w:eastAsia="zh-CN"/>
        </w:rPr>
        <w:t>2万元</w:t>
      </w:r>
      <w:r>
        <w:rPr>
          <w:rFonts w:hint="eastAsia" w:ascii="方正仿宋_GBK"/>
        </w:rPr>
        <w:t>。</w:t>
      </w:r>
    </w:p>
    <w:p>
      <w:pPr>
        <w:spacing w:before="10" w:after="10" w:line="500" w:lineRule="exact"/>
        <w:ind w:firstLine="640"/>
        <w:jc w:val="both"/>
        <w:rPr>
          <w:lang w:val="uk-UA"/>
        </w:rPr>
      </w:pPr>
      <w:r>
        <w:rPr>
          <w:rFonts w:ascii="黑体" w:hAnsi="黑体" w:eastAsia="黑体" w:cs="黑体"/>
          <w:color w:val="000000"/>
          <w:sz w:val="32"/>
        </w:rPr>
        <w:t>三、</w:t>
      </w:r>
      <w:r>
        <w:rPr>
          <w:rFonts w:hint="eastAsia" w:ascii="黑体" w:hAnsi="黑体" w:eastAsia="黑体" w:cs="黑体"/>
          <w:color w:val="000000"/>
          <w:sz w:val="32"/>
          <w:lang w:val="en-US" w:eastAsia="zh-CN"/>
        </w:rPr>
        <w:t>单位</w:t>
      </w:r>
      <w:r>
        <w:rPr>
          <w:rFonts w:ascii="黑体" w:hAnsi="黑体" w:eastAsia="黑体" w:cs="黑体"/>
          <w:color w:val="000000"/>
          <w:sz w:val="32"/>
        </w:rPr>
        <w:t>运行经费安排情况</w:t>
      </w:r>
    </w:p>
    <w:p>
      <w:pPr>
        <w:pStyle w:val="37"/>
        <w:rPr>
          <w:rFonts w:hint="eastAsia"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运行经费共计安排11.24万元，主要用于工会经费、福利费等日常运行支出。</w:t>
      </w:r>
    </w:p>
    <w:p>
      <w:pPr>
        <w:numPr>
          <w:ilvl w:val="0"/>
          <w:numId w:val="1"/>
        </w:numPr>
        <w:spacing w:before="10" w:after="10" w:line="500" w:lineRule="exact"/>
        <w:ind w:firstLine="640"/>
        <w:jc w:val="both"/>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line="500" w:lineRule="exact"/>
        <w:ind w:firstLine="560"/>
        <w:rPr>
          <w:rFonts w:hint="eastAsia" w:ascii="方正仿宋_GBK" w:hAnsi="Times New Roman" w:eastAsia="方正仿宋_GBK" w:cs="Times New Roman"/>
          <w:kern w:val="0"/>
          <w:sz w:val="28"/>
          <w:szCs w:val="24"/>
          <w:lang w:val="en-US" w:eastAsia="uk-UA" w:bidi="ar-SA"/>
        </w:rPr>
      </w:pPr>
      <w:r>
        <w:rPr>
          <w:rFonts w:hint="eastAsia" w:ascii="方正仿宋_GBK" w:hAnsi="Times New Roman" w:eastAsia="方正仿宋_GBK" w:cs="Times New Roman"/>
          <w:kern w:val="0"/>
          <w:sz w:val="28"/>
          <w:szCs w:val="24"/>
          <w:lang w:val="en-US" w:eastAsia="uk-UA" w:bidi="ar-SA"/>
        </w:rPr>
        <w:t>2023年，我</w:t>
      </w:r>
      <w:r>
        <w:rPr>
          <w:rFonts w:hint="eastAsia" w:ascii="方正仿宋_GBK" w:hAnsi="Times New Roman" w:eastAsia="方正仿宋_GBK" w:cs="Times New Roman"/>
          <w:kern w:val="0"/>
          <w:sz w:val="28"/>
          <w:szCs w:val="24"/>
          <w:lang w:val="en-US" w:eastAsia="zh-CN" w:bidi="ar-SA"/>
        </w:rPr>
        <w:t>单位</w:t>
      </w:r>
      <w:r>
        <w:rPr>
          <w:rFonts w:hint="eastAsia" w:ascii="方正仿宋_GBK" w:hAnsi="Times New Roman" w:eastAsia="方正仿宋_GBK" w:cs="Times New Roman"/>
          <w:kern w:val="0"/>
          <w:sz w:val="28"/>
          <w:szCs w:val="24"/>
          <w:lang w:val="en-US" w:eastAsia="uk-UA" w:bidi="ar-SA"/>
        </w:rPr>
        <w:t>财政拨款“三公”经费预算安排0万元。其中，因公出国（境）费0万元；公务用车购置及运维费0万元（其中：公务用车购置费为0万元，公务用车运维费0万元)；公务接待费</w:t>
      </w:r>
      <w:r>
        <w:rPr>
          <w:rFonts w:hint="eastAsia" w:ascii="方正仿宋_GBK" w:hAnsi="Times New Roman" w:eastAsia="方正仿宋_GBK" w:cs="Times New Roman"/>
          <w:kern w:val="0"/>
          <w:sz w:val="28"/>
          <w:szCs w:val="24"/>
          <w:lang w:val="en-US" w:eastAsia="zh-CN" w:bidi="ar-SA"/>
        </w:rPr>
        <w:t>0</w:t>
      </w:r>
      <w:r>
        <w:rPr>
          <w:rFonts w:hint="eastAsia" w:ascii="方正仿宋_GBK" w:hAnsi="Times New Roman" w:eastAsia="方正仿宋_GBK" w:cs="Times New Roman"/>
          <w:kern w:val="0"/>
          <w:sz w:val="28"/>
          <w:szCs w:val="24"/>
          <w:lang w:val="en-US" w:eastAsia="uk-UA" w:bidi="ar-SA"/>
        </w:rPr>
        <w:t>万元</w:t>
      </w:r>
      <w:r>
        <w:rPr>
          <w:rFonts w:hint="eastAsia" w:ascii="方正仿宋_GBK" w:hAnsi="Times New Roman" w:eastAsia="方正仿宋_GBK" w:cs="Times New Roman"/>
          <w:kern w:val="0"/>
          <w:sz w:val="28"/>
          <w:szCs w:val="24"/>
          <w:lang w:val="en-US" w:eastAsia="zh-CN" w:bidi="ar-SA"/>
        </w:rPr>
        <w:t>，</w:t>
      </w:r>
      <w:r>
        <w:rPr>
          <w:rFonts w:hint="eastAsia" w:ascii="方正仿宋_GBK" w:hAnsi="Times New Roman" w:eastAsia="方正仿宋_GBK" w:cs="Times New Roman"/>
          <w:kern w:val="0"/>
          <w:sz w:val="28"/>
          <w:szCs w:val="24"/>
          <w:lang w:val="en-US" w:eastAsia="uk-UA" w:bidi="ar-SA"/>
        </w:rPr>
        <w:t>较202</w:t>
      </w:r>
      <w:r>
        <w:rPr>
          <w:rFonts w:hint="eastAsia" w:ascii="方正仿宋_GBK" w:hAnsi="Times New Roman" w:eastAsia="方正仿宋_GBK" w:cs="Times New Roman"/>
          <w:kern w:val="0"/>
          <w:sz w:val="28"/>
          <w:szCs w:val="24"/>
          <w:lang w:val="en-US" w:eastAsia="zh-CN" w:bidi="ar-SA"/>
        </w:rPr>
        <w:t>2</w:t>
      </w:r>
      <w:r>
        <w:rPr>
          <w:rFonts w:hint="eastAsia" w:ascii="方正仿宋_GBK" w:hAnsi="Times New Roman" w:eastAsia="方正仿宋_GBK" w:cs="Times New Roman"/>
          <w:kern w:val="0"/>
          <w:sz w:val="28"/>
          <w:szCs w:val="24"/>
          <w:lang w:val="en-US" w:eastAsia="uk-UA" w:bidi="ar-SA"/>
        </w:rPr>
        <w:t>年“三公”经费减少0万元</w:t>
      </w:r>
      <w:r>
        <w:rPr>
          <w:rFonts w:hint="eastAsia" w:ascii="方正仿宋_GBK" w:hAnsi="Times New Roman" w:eastAsia="方正仿宋_GBK" w:cs="Times New Roman"/>
          <w:kern w:val="0"/>
          <w:sz w:val="28"/>
          <w:szCs w:val="24"/>
          <w:lang w:val="en-US" w:eastAsia="zh-CN" w:bidi="ar-SA"/>
        </w:rPr>
        <w:t>，</w:t>
      </w:r>
      <w:r>
        <w:rPr>
          <w:rFonts w:hint="eastAsia" w:ascii="方正仿宋_GBK" w:hAnsi="Times New Roman" w:eastAsia="方正仿宋_GBK" w:cs="Times New Roman"/>
          <w:kern w:val="0"/>
          <w:sz w:val="28"/>
          <w:szCs w:val="24"/>
          <w:lang w:val="en-US" w:eastAsia="uk-UA" w:bidi="ar-SA"/>
        </w:rPr>
        <w:t>与2022年相比持平，无增减变化。</w:t>
      </w:r>
    </w:p>
    <w:p>
      <w:pPr>
        <w:spacing w:before="10" w:after="10" w:line="500" w:lineRule="exact"/>
        <w:ind w:firstLine="640"/>
        <w:jc w:val="both"/>
        <w:rPr>
          <w:rFonts w:ascii="黑体" w:hAnsi="黑体" w:eastAsia="黑体" w:cs="黑体"/>
          <w:color w:val="000000"/>
          <w:sz w:val="32"/>
        </w:rPr>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tabs>
          <w:tab w:val="left" w:pos="434"/>
        </w:tabs>
        <w:ind w:firstLine="560"/>
      </w:pPr>
      <w:r>
        <w:rPr>
          <w:rFonts w:hint="eastAsia" w:ascii="方正仿宋_GBK" w:hAnsi="方正仿宋_GBK" w:eastAsia="方正仿宋_GBK" w:cs="方正仿宋_GBK"/>
          <w:b/>
          <w:color w:val="000000"/>
          <w:sz w:val="28"/>
          <w:lang w:eastAsia="zh-CN"/>
        </w:rPr>
        <w:tab/>
      </w: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≥470人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≥470人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≥470人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eastAsia="方正仿宋_GBK"/>
          <w:color w:val="000000"/>
          <w:sz w:val="28"/>
        </w:rPr>
      </w:pPr>
      <w:r>
        <w:rPr>
          <w:rFonts w:eastAsia="方正仿宋_GBK"/>
          <w:color w:val="000000"/>
          <w:sz w:val="28"/>
        </w:rPr>
        <w:t>2023年，霸州市第二十四中学安排政府采购预算2.10万元。具体内容见下表。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501640霸州市第二十四中学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2.10</w:t>
            </w:r>
          </w:p>
        </w:tc>
        <w:tc>
          <w:tcPr>
            <w:tcW w:w="964" w:type="dxa"/>
            <w:vAlign w:val="center"/>
          </w:tcPr>
          <w:p>
            <w:pPr>
              <w:pStyle w:val="25"/>
            </w:pPr>
            <w:r>
              <w:t>2.10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霸州市第二十四中学小计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2.10</w:t>
            </w:r>
          </w:p>
        </w:tc>
        <w:tc>
          <w:tcPr>
            <w:tcW w:w="964" w:type="dxa"/>
            <w:vAlign w:val="center"/>
          </w:tcPr>
          <w:p>
            <w:pPr>
              <w:pStyle w:val="25"/>
            </w:pPr>
            <w:r>
              <w:t>2.10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13.24</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个</w:t>
            </w:r>
          </w:p>
        </w:tc>
        <w:tc>
          <w:tcPr>
            <w:tcW w:w="850" w:type="dxa"/>
            <w:vAlign w:val="center"/>
          </w:tcPr>
          <w:p>
            <w:pPr>
              <w:pStyle w:val="21"/>
            </w:pPr>
            <w:r>
              <w:t>2</w:t>
            </w:r>
          </w:p>
        </w:tc>
        <w:tc>
          <w:tcPr>
            <w:tcW w:w="850" w:type="dxa"/>
            <w:vAlign w:val="center"/>
          </w:tcPr>
          <w:p>
            <w:pPr>
              <w:pStyle w:val="21"/>
            </w:pPr>
            <w:r>
              <w:t>0.05</w:t>
            </w:r>
          </w:p>
        </w:tc>
        <w:tc>
          <w:tcPr>
            <w:tcW w:w="964" w:type="dxa"/>
            <w:vAlign w:val="center"/>
          </w:tcPr>
          <w:p>
            <w:pPr>
              <w:pStyle w:val="21"/>
            </w:pPr>
            <w:r>
              <w:t>0.10</w:t>
            </w:r>
          </w:p>
        </w:tc>
        <w:tc>
          <w:tcPr>
            <w:tcW w:w="964" w:type="dxa"/>
            <w:vAlign w:val="center"/>
          </w:tcPr>
          <w:p>
            <w:pPr>
              <w:pStyle w:val="21"/>
            </w:pPr>
            <w:r>
              <w:t>0.10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29.00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2.00</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lang w:val="uk-UA"/>
        </w:rPr>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hint="eastAsia" w:eastAsia="方正仿宋_GBK"/>
          <w:color w:val="000000"/>
          <w:sz w:val="28"/>
        </w:rPr>
        <w:t>霸州市第二十四中学上年末固定资产金额为</w:t>
      </w:r>
      <w:r>
        <w:rPr>
          <w:rFonts w:hint="eastAsia" w:eastAsia="方正仿宋_GBK"/>
          <w:color w:val="000000"/>
          <w:sz w:val="28"/>
          <w:lang w:val="en-US" w:eastAsia="zh-CN"/>
        </w:rPr>
        <w:t>1376.17</w:t>
      </w:r>
      <w:r>
        <w:rPr>
          <w:rFonts w:hint="eastAsia" w:eastAsia="方正仿宋_GBK"/>
          <w:color w:val="000000"/>
          <w:sz w:val="28"/>
        </w:rPr>
        <w:t>万元（详见下表）。本年度拟购置固定资产总额为</w:t>
      </w:r>
      <w:r>
        <w:rPr>
          <w:rFonts w:hint="eastAsia" w:eastAsia="方正仿宋_GBK"/>
          <w:color w:val="000000"/>
          <w:sz w:val="28"/>
          <w:lang w:val="en-US" w:eastAsia="zh-CN"/>
        </w:rPr>
        <w:t>2.10</w:t>
      </w:r>
      <w:r>
        <w:rPr>
          <w:rFonts w:hint="eastAsia"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7"/>
            </w:pPr>
            <w:r>
              <w:t>501640霸州市第二十四中学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资产总额</w:t>
            </w:r>
          </w:p>
        </w:tc>
        <w:tc>
          <w:tcPr>
            <w:tcW w:w="2835" w:type="dxa"/>
            <w:vAlign w:val="center"/>
          </w:tcPr>
          <w:p>
            <w:pPr>
              <w:pStyle w:val="21"/>
              <w:jc w:val="center"/>
            </w:pPr>
            <w:r>
              <w:rPr>
                <w:rFonts w:hint="eastAsia" w:ascii="宋体" w:hAnsi="宋体" w:eastAsia="宋体" w:cs="宋体"/>
                <w:sz w:val="22"/>
              </w:rPr>
              <w:t>——</w:t>
            </w:r>
          </w:p>
        </w:tc>
        <w:tc>
          <w:tcPr>
            <w:tcW w:w="2835" w:type="dxa"/>
            <w:vAlign w:val="center"/>
          </w:tcPr>
          <w:p>
            <w:pPr>
              <w:pStyle w:val="23"/>
              <w:jc w:val="left"/>
              <w:rPr>
                <w:rFonts w:hint="default"/>
                <w:lang w:val="en-US" w:eastAsia="zh-CN"/>
              </w:rPr>
            </w:pPr>
            <w:r>
              <w:rPr>
                <w:rFonts w:hint="eastAsia"/>
                <w:lang w:val="en-US" w:eastAsia="zh-CN"/>
              </w:rPr>
              <w:t>1376.17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1、房屋(平方米）</w:t>
            </w:r>
          </w:p>
        </w:tc>
        <w:tc>
          <w:tcPr>
            <w:tcW w:w="2835" w:type="dxa"/>
            <w:vAlign w:val="center"/>
          </w:tcPr>
          <w:p>
            <w:pPr>
              <w:pStyle w:val="22"/>
              <w:rPr>
                <w:lang w:eastAsia="zh-CN"/>
              </w:rPr>
            </w:pPr>
            <w:r>
              <w:rPr>
                <w:rFonts w:hint="eastAsia"/>
                <w:lang w:eastAsia="zh-CN"/>
              </w:rPr>
              <w:t>4163.29</w:t>
            </w:r>
          </w:p>
        </w:tc>
        <w:tc>
          <w:tcPr>
            <w:tcW w:w="2835" w:type="dxa"/>
            <w:vAlign w:val="center"/>
          </w:tcPr>
          <w:p>
            <w:pPr>
              <w:pStyle w:val="22"/>
              <w:rPr>
                <w:lang w:eastAsia="zh-CN"/>
              </w:rPr>
            </w:pPr>
            <w:r>
              <w:rPr>
                <w:rFonts w:hint="eastAsia"/>
                <w:lang w:eastAsia="zh-CN"/>
              </w:rPr>
              <w:t>737.51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 xml:space="preserve">    其中：办公用房（平方米）</w:t>
            </w:r>
          </w:p>
        </w:tc>
        <w:tc>
          <w:tcPr>
            <w:tcW w:w="2835" w:type="dxa"/>
            <w:vAlign w:val="center"/>
          </w:tcPr>
          <w:p>
            <w:pPr>
              <w:pStyle w:val="22"/>
              <w:rPr>
                <w:lang w:eastAsia="zh-CN"/>
              </w:rPr>
            </w:pPr>
            <w:r>
              <w:rPr>
                <w:rFonts w:hint="eastAsia"/>
                <w:lang w:eastAsia="zh-CN"/>
              </w:rPr>
              <w:t>1063.06</w:t>
            </w:r>
          </w:p>
        </w:tc>
        <w:tc>
          <w:tcPr>
            <w:tcW w:w="2835" w:type="dxa"/>
            <w:vAlign w:val="center"/>
          </w:tcPr>
          <w:p>
            <w:pPr>
              <w:pStyle w:val="22"/>
              <w:rPr>
                <w:lang w:eastAsia="zh-CN"/>
              </w:rPr>
            </w:pPr>
            <w:r>
              <w:rPr>
                <w:rFonts w:hint="eastAsia"/>
                <w:lang w:eastAsia="zh-CN"/>
              </w:rPr>
              <w:t>188.32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2、车辆（台、辆）</w:t>
            </w:r>
          </w:p>
        </w:tc>
        <w:tc>
          <w:tcPr>
            <w:tcW w:w="2835" w:type="dxa"/>
            <w:vAlign w:val="center"/>
          </w:tcPr>
          <w:p>
            <w:pPr>
              <w:pStyle w:val="22"/>
              <w:rPr>
                <w:lang w:eastAsia="zh-CN"/>
              </w:rPr>
            </w:pPr>
          </w:p>
        </w:tc>
        <w:tc>
          <w:tcPr>
            <w:tcW w:w="2835" w:type="dxa"/>
            <w:vAlign w:val="center"/>
          </w:tcPr>
          <w:p>
            <w:pPr>
              <w:pStyle w:val="22"/>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3、单价在20万元以上的设备</w:t>
            </w:r>
          </w:p>
        </w:tc>
        <w:tc>
          <w:tcPr>
            <w:tcW w:w="2835" w:type="dxa"/>
            <w:vAlign w:val="center"/>
          </w:tcPr>
          <w:p>
            <w:pPr>
              <w:pStyle w:val="22"/>
              <w:rPr>
                <w:lang w:eastAsia="zh-CN"/>
              </w:rPr>
            </w:pPr>
          </w:p>
        </w:tc>
        <w:tc>
          <w:tcPr>
            <w:tcW w:w="2835" w:type="dxa"/>
            <w:vAlign w:val="center"/>
          </w:tcPr>
          <w:p>
            <w:pPr>
              <w:pStyle w:val="22"/>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lang w:eastAsia="zh-CN"/>
              </w:rPr>
            </w:pPr>
            <w:r>
              <w:rPr>
                <w:rFonts w:hint="eastAsia"/>
                <w:lang w:eastAsia="zh-CN"/>
              </w:rPr>
              <w:t>4、其他固定资产</w:t>
            </w:r>
          </w:p>
        </w:tc>
        <w:tc>
          <w:tcPr>
            <w:tcW w:w="2835" w:type="dxa"/>
            <w:vAlign w:val="center"/>
          </w:tcPr>
          <w:p>
            <w:pPr>
              <w:pStyle w:val="22"/>
              <w:rPr>
                <w:rFonts w:hint="default"/>
                <w:lang w:val="en-US" w:eastAsia="zh-CN"/>
              </w:rPr>
            </w:pPr>
            <w:r>
              <w:rPr>
                <w:rFonts w:hint="eastAsia"/>
                <w:lang w:val="en-US" w:eastAsia="zh-CN"/>
              </w:rPr>
              <w:t>17721</w:t>
            </w:r>
          </w:p>
        </w:tc>
        <w:tc>
          <w:tcPr>
            <w:tcW w:w="2835" w:type="dxa"/>
            <w:vAlign w:val="center"/>
          </w:tcPr>
          <w:p>
            <w:pPr>
              <w:pStyle w:val="22"/>
              <w:rPr>
                <w:rFonts w:hint="default"/>
                <w:lang w:val="en-US" w:eastAsia="zh-CN"/>
              </w:rPr>
            </w:pPr>
            <w:r>
              <w:rPr>
                <w:rFonts w:hint="eastAsia"/>
                <w:lang w:val="en-US" w:eastAsia="zh-CN"/>
              </w:rPr>
              <w:t>638.66</w:t>
            </w:r>
          </w:p>
        </w:tc>
      </w:tr>
    </w:tbl>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lang w:val="uk-UA"/>
        </w:rPr>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232B1"/>
    <w:multiLevelType w:val="singleLevel"/>
    <w:tmpl w:val="01F232B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f448d3a9-6d25-47bc-bc02-3d4369f60e25"/>
  </w:docVars>
  <w:rsids>
    <w:rsidRoot w:val="004A1168"/>
    <w:rsid w:val="00012A57"/>
    <w:rsid w:val="000B7353"/>
    <w:rsid w:val="00136014"/>
    <w:rsid w:val="001518DE"/>
    <w:rsid w:val="001F67F8"/>
    <w:rsid w:val="0020466D"/>
    <w:rsid w:val="00297876"/>
    <w:rsid w:val="00297B59"/>
    <w:rsid w:val="002F010E"/>
    <w:rsid w:val="00336F3D"/>
    <w:rsid w:val="003A5231"/>
    <w:rsid w:val="003D654A"/>
    <w:rsid w:val="004308A9"/>
    <w:rsid w:val="00464BFB"/>
    <w:rsid w:val="004A1168"/>
    <w:rsid w:val="005B7AFC"/>
    <w:rsid w:val="005F2B34"/>
    <w:rsid w:val="00617D93"/>
    <w:rsid w:val="006A5EA6"/>
    <w:rsid w:val="006D6C4D"/>
    <w:rsid w:val="006F70C6"/>
    <w:rsid w:val="00775F36"/>
    <w:rsid w:val="0081549A"/>
    <w:rsid w:val="00853EC1"/>
    <w:rsid w:val="00872B6F"/>
    <w:rsid w:val="00892E6D"/>
    <w:rsid w:val="00972810"/>
    <w:rsid w:val="00991EB1"/>
    <w:rsid w:val="009B55A2"/>
    <w:rsid w:val="00A07315"/>
    <w:rsid w:val="00A80758"/>
    <w:rsid w:val="00A9064A"/>
    <w:rsid w:val="00A915A7"/>
    <w:rsid w:val="00A94242"/>
    <w:rsid w:val="00AA1FB3"/>
    <w:rsid w:val="00AB4AE4"/>
    <w:rsid w:val="00AD578B"/>
    <w:rsid w:val="00B117C9"/>
    <w:rsid w:val="00B6757F"/>
    <w:rsid w:val="00BB35A7"/>
    <w:rsid w:val="00BC7A40"/>
    <w:rsid w:val="00BD64D7"/>
    <w:rsid w:val="00BF52BD"/>
    <w:rsid w:val="00C24652"/>
    <w:rsid w:val="00C57197"/>
    <w:rsid w:val="00C672B5"/>
    <w:rsid w:val="00C92E13"/>
    <w:rsid w:val="00CC7E62"/>
    <w:rsid w:val="00D513F4"/>
    <w:rsid w:val="00D52347"/>
    <w:rsid w:val="00D64AD2"/>
    <w:rsid w:val="00D93167"/>
    <w:rsid w:val="00D9444E"/>
    <w:rsid w:val="00E02CBF"/>
    <w:rsid w:val="00E20116"/>
    <w:rsid w:val="00E3061C"/>
    <w:rsid w:val="00E631D9"/>
    <w:rsid w:val="00EF51BF"/>
    <w:rsid w:val="00F27DBE"/>
    <w:rsid w:val="00F420B9"/>
    <w:rsid w:val="00F56EA6"/>
    <w:rsid w:val="00FC209C"/>
    <w:rsid w:val="043D6C25"/>
    <w:rsid w:val="05EE25C2"/>
    <w:rsid w:val="09616F12"/>
    <w:rsid w:val="096E162E"/>
    <w:rsid w:val="0B7135BB"/>
    <w:rsid w:val="0DAB0DF4"/>
    <w:rsid w:val="0E4C1405"/>
    <w:rsid w:val="10B719E8"/>
    <w:rsid w:val="14496F20"/>
    <w:rsid w:val="1BB2516C"/>
    <w:rsid w:val="1CE63A74"/>
    <w:rsid w:val="1E1320BA"/>
    <w:rsid w:val="1FCB4EEB"/>
    <w:rsid w:val="20B67CD3"/>
    <w:rsid w:val="256911D0"/>
    <w:rsid w:val="279E24E3"/>
    <w:rsid w:val="27BF157B"/>
    <w:rsid w:val="28C30B06"/>
    <w:rsid w:val="2BFE1708"/>
    <w:rsid w:val="2D854216"/>
    <w:rsid w:val="2EE47B19"/>
    <w:rsid w:val="2EFA3C20"/>
    <w:rsid w:val="39463D77"/>
    <w:rsid w:val="3A00519E"/>
    <w:rsid w:val="3BFC0772"/>
    <w:rsid w:val="3C7E15AD"/>
    <w:rsid w:val="3EEC4EF4"/>
    <w:rsid w:val="3F4A3E90"/>
    <w:rsid w:val="3F9070B6"/>
    <w:rsid w:val="3FF83BF5"/>
    <w:rsid w:val="41C2018E"/>
    <w:rsid w:val="44305C06"/>
    <w:rsid w:val="44A217DF"/>
    <w:rsid w:val="465515D1"/>
    <w:rsid w:val="47721918"/>
    <w:rsid w:val="48C50ABA"/>
    <w:rsid w:val="4B875B74"/>
    <w:rsid w:val="4BED4059"/>
    <w:rsid w:val="4C212A4D"/>
    <w:rsid w:val="51CC398B"/>
    <w:rsid w:val="52D675F5"/>
    <w:rsid w:val="53177658"/>
    <w:rsid w:val="562E7041"/>
    <w:rsid w:val="570D2C63"/>
    <w:rsid w:val="5B445318"/>
    <w:rsid w:val="5FBC4017"/>
    <w:rsid w:val="645327B5"/>
    <w:rsid w:val="650A051D"/>
    <w:rsid w:val="65142750"/>
    <w:rsid w:val="66AA4BC9"/>
    <w:rsid w:val="698A44E3"/>
    <w:rsid w:val="69A04061"/>
    <w:rsid w:val="6A6629D9"/>
    <w:rsid w:val="6A8E3092"/>
    <w:rsid w:val="6B945E48"/>
    <w:rsid w:val="6E90548A"/>
    <w:rsid w:val="6FF43359"/>
    <w:rsid w:val="74B17A6A"/>
    <w:rsid w:val="7601232C"/>
    <w:rsid w:val="76E557A9"/>
    <w:rsid w:val="771A36A5"/>
    <w:rsid w:val="78771BF8"/>
    <w:rsid w:val="7CB44DDB"/>
    <w:rsid w:val="7F21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5643</Words>
  <Characters>6745</Characters>
  <Lines>66</Lines>
  <Paragraphs>18</Paragraphs>
  <TotalTime>15</TotalTime>
  <ScaleCrop>false</ScaleCrop>
  <LinksUpToDate>false</LinksUpToDate>
  <CharactersWithSpaces>6915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2023-02-27T04:00:00Z</cp:lastPrinted>
  <dcterms:modified xsi:type="dcterms:W3CDTF">2023-02-28T03:05:39Z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53C9BE1774E34D36BE15110CAD4F6F8B</vt:lpwstr>
  </property>
</Properties>
</file>